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16" w:rsidRPr="00D229DE" w:rsidRDefault="00A45316" w:rsidP="00A45316">
      <w:pPr>
        <w:rPr>
          <w:rFonts w:ascii="仿宋_GB2312" w:eastAsia="仿宋_GB2312" w:hAnsiTheme="majorHAnsi"/>
          <w:sz w:val="32"/>
          <w:szCs w:val="32"/>
        </w:rPr>
      </w:pPr>
      <w:r w:rsidRPr="00D229DE">
        <w:rPr>
          <w:rFonts w:ascii="仿宋_GB2312" w:eastAsia="仿宋_GB2312" w:hAnsiTheme="majorHAnsi" w:hint="eastAsia"/>
          <w:sz w:val="32"/>
          <w:szCs w:val="32"/>
        </w:rPr>
        <w:t>附件</w:t>
      </w:r>
      <w:r>
        <w:rPr>
          <w:rFonts w:ascii="仿宋_GB2312" w:eastAsia="仿宋_GB2312" w:hAnsiTheme="majorHAnsi" w:hint="eastAsia"/>
          <w:sz w:val="32"/>
          <w:szCs w:val="32"/>
        </w:rPr>
        <w:t>7</w:t>
      </w:r>
    </w:p>
    <w:p w:rsidR="00A45316" w:rsidRPr="00D229DE" w:rsidRDefault="00A45316" w:rsidP="00A45316">
      <w:pPr>
        <w:snapToGrid w:val="0"/>
        <w:spacing w:afterLines="50" w:after="156"/>
        <w:ind w:firstLineChars="400" w:firstLine="1440"/>
        <w:outlineLvl w:val="0"/>
        <w:rPr>
          <w:rFonts w:ascii="黑体" w:eastAsia="黑体" w:hAnsi="黑体" w:cs="宋体"/>
          <w:kern w:val="0"/>
          <w:sz w:val="36"/>
          <w:szCs w:val="36"/>
        </w:rPr>
      </w:pPr>
      <w:r w:rsidRPr="00D229DE">
        <w:rPr>
          <w:rFonts w:ascii="黑体" w:eastAsia="黑体" w:hAnsi="黑体" w:cs="宋体" w:hint="eastAsia"/>
          <w:kern w:val="0"/>
          <w:sz w:val="36"/>
          <w:szCs w:val="36"/>
        </w:rPr>
        <w:t>“</w:t>
      </w:r>
      <w:r w:rsidRPr="00D229DE">
        <w:rPr>
          <w:rFonts w:ascii="黑体" w:eastAsia="黑体" w:hAnsi="黑体" w:cs="微软雅黑" w:hint="eastAsia"/>
          <w:kern w:val="0"/>
          <w:sz w:val="36"/>
          <w:szCs w:val="36"/>
        </w:rPr>
        <w:t>落实政策表</w:t>
      </w:r>
      <w:r w:rsidRPr="00D229DE">
        <w:rPr>
          <w:rFonts w:ascii="黑体" w:eastAsia="黑体" w:hAnsi="黑体" w:cs="Malgun Gothic Semilight" w:hint="eastAsia"/>
          <w:kern w:val="0"/>
          <w:sz w:val="36"/>
          <w:szCs w:val="36"/>
        </w:rPr>
        <w:t>”</w:t>
      </w:r>
      <w:r w:rsidRPr="00D229DE">
        <w:rPr>
          <w:rFonts w:ascii="黑体" w:eastAsia="黑体" w:hAnsi="黑体" w:cs="微软雅黑" w:hint="eastAsia"/>
          <w:kern w:val="0"/>
          <w:sz w:val="36"/>
          <w:szCs w:val="36"/>
        </w:rPr>
        <w:t>指标及相关内涵说明</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“落实政策表”系通过院校数据反映政府落实国家发展高职教育政策情况的管理评价工具。</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1.“年生均财政拨款水平”：按照《财政部 教育部关于建立完善以改革和绩效为导向的生均拨款制度加快发展现代高等职业教育的意见》（</w:t>
      </w:r>
      <w:proofErr w:type="gramStart"/>
      <w:r w:rsidRPr="00D229DE">
        <w:rPr>
          <w:rFonts w:ascii="仿宋_GB2312" w:eastAsia="仿宋_GB2312" w:hAnsiTheme="majorHAnsi" w:hint="eastAsia"/>
          <w:sz w:val="32"/>
          <w:szCs w:val="32"/>
        </w:rPr>
        <w:t>财教〔2014〕</w:t>
      </w:r>
      <w:proofErr w:type="gramEnd"/>
      <w:r w:rsidRPr="00D229DE">
        <w:rPr>
          <w:rFonts w:ascii="仿宋_GB2312" w:eastAsia="仿宋_GB2312" w:hAnsiTheme="majorHAnsi" w:hint="eastAsia"/>
          <w:sz w:val="32"/>
          <w:szCs w:val="32"/>
        </w:rPr>
        <w:t>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年生均财政专项经费”是指“年生均财政拨款水平”中的专项经费支出。</w:t>
      </w:r>
      <w:r w:rsidRPr="00D229DE">
        <w:rPr>
          <w:rFonts w:ascii="仿宋_GB2312" w:eastAsia="仿宋_GB2312" w:hAnsiTheme="majorHAnsi" w:cs="宋体" w:hint="eastAsia"/>
          <w:kern w:val="0"/>
          <w:sz w:val="32"/>
          <w:szCs w:val="32"/>
        </w:rPr>
        <w:t>统计截止时点以财政年度为准。</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非在编的全职教师。</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3.“企业提供的校内实践教学设备值”指企业为学校提供的实践教学设备（设备在学校，产权属企业，学校有使用权）的总资产值。按照企业采购原值计算。</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4.“生均企业实习经费补贴”指用于补贴学生企业实习的经费(补贴给学生个人或企业),按照实习学生人数折算的平均水平。其中，“生均财政专项补贴”是指“生均企业实习经费补贴”中的财政专项经费，如果没有单列财政专项则</w:t>
      </w:r>
      <w:r w:rsidRPr="00D229DE">
        <w:rPr>
          <w:rFonts w:ascii="仿宋_GB2312" w:eastAsia="仿宋_GB2312" w:hAnsiTheme="majorHAnsi" w:hint="eastAsia"/>
          <w:sz w:val="32"/>
          <w:szCs w:val="32"/>
        </w:rPr>
        <w:lastRenderedPageBreak/>
        <w:t>不填。</w:t>
      </w:r>
    </w:p>
    <w:p w:rsidR="00A45316" w:rsidRPr="00D229DE" w:rsidRDefault="00A45316" w:rsidP="00A45316">
      <w:pPr>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5.“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rsidR="00A45316" w:rsidRPr="00D229DE" w:rsidRDefault="00A45316" w:rsidP="00A45316">
      <w:pPr>
        <w:spacing w:line="520" w:lineRule="exact"/>
        <w:ind w:firstLineChars="200" w:firstLine="640"/>
        <w:rPr>
          <w:rFonts w:ascii="仿宋_GB2312" w:eastAsia="仿宋_GB2312" w:hAnsiTheme="majorHAnsi"/>
          <w:sz w:val="30"/>
          <w:szCs w:val="30"/>
        </w:rPr>
      </w:pPr>
      <w:r w:rsidRPr="00D229DE">
        <w:rPr>
          <w:rFonts w:ascii="仿宋_GB2312" w:eastAsia="仿宋_GB2312" w:hAnsiTheme="majorHAnsi" w:hint="eastAsia"/>
          <w:sz w:val="32"/>
          <w:szCs w:val="32"/>
        </w:rPr>
        <w:t>6.“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的财政专项经费。</w:t>
      </w:r>
      <w:r w:rsidRPr="00D229DE">
        <w:rPr>
          <w:rFonts w:ascii="仿宋_GB2312" w:eastAsia="仿宋_GB2312" w:hAnsiTheme="majorHAnsi" w:hint="eastAsia"/>
          <w:sz w:val="30"/>
          <w:szCs w:val="30"/>
        </w:rPr>
        <w:br w:type="page"/>
      </w:r>
    </w:p>
    <w:p w:rsidR="00A45316" w:rsidRPr="00D229DE" w:rsidRDefault="00A45316" w:rsidP="00A45316">
      <w:pPr>
        <w:widowControl/>
        <w:snapToGrid w:val="0"/>
        <w:spacing w:line="312" w:lineRule="auto"/>
        <w:jc w:val="center"/>
        <w:rPr>
          <w:rFonts w:ascii="黑体" w:eastAsia="黑体" w:hAnsi="黑体"/>
          <w:sz w:val="32"/>
          <w:szCs w:val="32"/>
        </w:rPr>
      </w:pPr>
      <w:r w:rsidRPr="00D229DE">
        <w:rPr>
          <w:rFonts w:ascii="黑体" w:eastAsia="黑体" w:hAnsi="黑体" w:hint="eastAsia"/>
          <w:sz w:val="32"/>
          <w:szCs w:val="32"/>
        </w:rPr>
        <w:lastRenderedPageBreak/>
        <w:t>表</w:t>
      </w:r>
      <w:r>
        <w:rPr>
          <w:rFonts w:ascii="黑体" w:eastAsia="黑体" w:hAnsi="黑体" w:hint="eastAsia"/>
          <w:sz w:val="32"/>
          <w:szCs w:val="32"/>
        </w:rPr>
        <w:t xml:space="preserve">6 </w:t>
      </w:r>
      <w:r w:rsidRPr="00D229DE">
        <w:rPr>
          <w:rFonts w:ascii="黑体" w:eastAsia="黑体" w:hAnsi="黑体" w:hint="eastAsia"/>
          <w:sz w:val="32"/>
          <w:szCs w:val="32"/>
        </w:rPr>
        <w:t>落实政策表</w:t>
      </w:r>
    </w:p>
    <w:tbl>
      <w:tblPr>
        <w:tblW w:w="5262" w:type="pct"/>
        <w:jc w:val="center"/>
        <w:tblLayout w:type="fixed"/>
        <w:tblLook w:val="04A0" w:firstRow="1" w:lastRow="0" w:firstColumn="1" w:lastColumn="0" w:noHBand="0" w:noVBand="1"/>
      </w:tblPr>
      <w:tblGrid>
        <w:gridCol w:w="851"/>
        <w:gridCol w:w="852"/>
        <w:gridCol w:w="425"/>
        <w:gridCol w:w="3832"/>
        <w:gridCol w:w="996"/>
        <w:gridCol w:w="996"/>
        <w:gridCol w:w="1017"/>
      </w:tblGrid>
      <w:tr w:rsidR="00A45316" w:rsidRPr="00253C0A" w:rsidTr="005E6B99">
        <w:trPr>
          <w:trHeight w:val="480"/>
          <w:jc w:val="center"/>
        </w:trPr>
        <w:tc>
          <w:tcPr>
            <w:tcW w:w="4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276"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院校代码</w:t>
            </w:r>
          </w:p>
        </w:tc>
        <w:tc>
          <w:tcPr>
            <w:tcW w:w="475" w:type="pct"/>
            <w:tcBorders>
              <w:top w:val="single" w:sz="4" w:space="0" w:color="auto"/>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276"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院校名称</w:t>
            </w:r>
          </w:p>
        </w:tc>
        <w:tc>
          <w:tcPr>
            <w:tcW w:w="2373"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指标</w:t>
            </w:r>
          </w:p>
        </w:tc>
        <w:tc>
          <w:tcPr>
            <w:tcW w:w="555" w:type="pct"/>
            <w:tcBorders>
              <w:top w:val="single" w:sz="4" w:space="0" w:color="auto"/>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单位</w:t>
            </w:r>
          </w:p>
        </w:tc>
        <w:tc>
          <w:tcPr>
            <w:tcW w:w="555" w:type="pct"/>
            <w:tcBorders>
              <w:top w:val="single" w:sz="4" w:space="0" w:color="auto"/>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2017年</w:t>
            </w:r>
          </w:p>
        </w:tc>
        <w:tc>
          <w:tcPr>
            <w:tcW w:w="567" w:type="pct"/>
            <w:tcBorders>
              <w:top w:val="single" w:sz="4" w:space="0" w:color="auto"/>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2018年</w:t>
            </w:r>
          </w:p>
        </w:tc>
      </w:tr>
      <w:tr w:rsidR="00A45316" w:rsidRPr="00253C0A" w:rsidTr="005E6B99">
        <w:trPr>
          <w:trHeight w:val="390"/>
          <w:jc w:val="center"/>
        </w:trPr>
        <w:tc>
          <w:tcPr>
            <w:tcW w:w="475" w:type="pct"/>
            <w:vMerge w:val="restart"/>
            <w:tcBorders>
              <w:top w:val="single" w:sz="4" w:space="0" w:color="auto"/>
              <w:left w:val="single" w:sz="4" w:space="0" w:color="auto"/>
              <w:right w:val="single" w:sz="4" w:space="0" w:color="auto"/>
            </w:tcBorders>
            <w:shd w:val="clear" w:color="000000" w:fill="FFFFFF"/>
            <w:vAlign w:val="bottom"/>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c>
          <w:tcPr>
            <w:tcW w:w="475" w:type="pct"/>
            <w:vMerge w:val="restart"/>
            <w:tcBorders>
              <w:top w:val="single" w:sz="4" w:space="0" w:color="auto"/>
              <w:left w:val="single" w:sz="4" w:space="0" w:color="auto"/>
              <w:right w:val="single" w:sz="4" w:space="0" w:color="auto"/>
            </w:tcBorders>
            <w:shd w:val="clear" w:color="000000" w:fill="FFFFFF"/>
            <w:vAlign w:val="bottom"/>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c>
          <w:tcPr>
            <w:tcW w:w="237" w:type="pct"/>
            <w:vMerge w:val="restart"/>
            <w:tcBorders>
              <w:top w:val="nil"/>
              <w:left w:val="nil"/>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1</w:t>
            </w:r>
          </w:p>
        </w:tc>
        <w:tc>
          <w:tcPr>
            <w:tcW w:w="2136" w:type="pct"/>
            <w:tcBorders>
              <w:top w:val="nil"/>
              <w:left w:val="nil"/>
              <w:bottom w:val="single" w:sz="4" w:space="0" w:color="auto"/>
              <w:right w:val="single" w:sz="4" w:space="0" w:color="auto"/>
            </w:tcBorders>
            <w:shd w:val="clear" w:color="auto" w:fill="auto"/>
            <w:noWrap/>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年生</w:t>
            </w:r>
            <w:proofErr w:type="gramStart"/>
            <w:r w:rsidRPr="00D229DE">
              <w:rPr>
                <w:rFonts w:ascii="仿宋_GB2312" w:eastAsia="仿宋_GB2312" w:hAnsiTheme="majorHAnsi" w:cs="宋体" w:hint="eastAsia"/>
                <w:kern w:val="0"/>
                <w:sz w:val="24"/>
                <w:szCs w:val="24"/>
              </w:rPr>
              <w:t>均财政</w:t>
            </w:r>
            <w:proofErr w:type="gramEnd"/>
            <w:r w:rsidRPr="00D229DE">
              <w:rPr>
                <w:rFonts w:ascii="仿宋_GB2312" w:eastAsia="仿宋_GB2312" w:hAnsiTheme="majorHAnsi" w:cs="宋体" w:hint="eastAsia"/>
                <w:kern w:val="0"/>
                <w:sz w:val="24"/>
                <w:szCs w:val="24"/>
              </w:rPr>
              <w:t>拨款水平</w:t>
            </w:r>
          </w:p>
        </w:tc>
        <w:tc>
          <w:tcPr>
            <w:tcW w:w="555" w:type="pct"/>
            <w:tcBorders>
              <w:top w:val="nil"/>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nil"/>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nil"/>
              <w:left w:val="nil"/>
              <w:bottom w:val="single" w:sz="4" w:space="0" w:color="auto"/>
              <w:right w:val="single" w:sz="4" w:space="0" w:color="auto"/>
            </w:tcBorders>
            <w:shd w:val="clear" w:color="000000" w:fill="FFFFFF"/>
            <w:noWrap/>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p>
        </w:tc>
        <w:tc>
          <w:tcPr>
            <w:tcW w:w="2136" w:type="pct"/>
            <w:tcBorders>
              <w:top w:val="nil"/>
              <w:left w:val="nil"/>
              <w:bottom w:val="single" w:sz="4" w:space="0" w:color="auto"/>
              <w:right w:val="single" w:sz="4" w:space="0" w:color="auto"/>
            </w:tcBorders>
            <w:shd w:val="clear" w:color="auto" w:fill="auto"/>
            <w:noWrap/>
            <w:vAlign w:val="center"/>
            <w:hideMark/>
          </w:tcPr>
          <w:p w:rsidR="00A45316" w:rsidRPr="00D229DE" w:rsidRDefault="00A45316" w:rsidP="005E6B99">
            <w:pPr>
              <w:widowControl/>
              <w:spacing w:line="360" w:lineRule="auto"/>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其中：年生</w:t>
            </w:r>
            <w:proofErr w:type="gramStart"/>
            <w:r w:rsidRPr="00D229DE">
              <w:rPr>
                <w:rFonts w:ascii="仿宋_GB2312" w:eastAsia="仿宋_GB2312" w:hAnsiTheme="majorHAnsi" w:cs="宋体" w:hint="eastAsia"/>
                <w:kern w:val="0"/>
                <w:sz w:val="24"/>
                <w:szCs w:val="24"/>
              </w:rPr>
              <w:t>均财政</w:t>
            </w:r>
            <w:proofErr w:type="gramEnd"/>
            <w:r w:rsidRPr="00D229DE">
              <w:rPr>
                <w:rFonts w:ascii="仿宋_GB2312" w:eastAsia="仿宋_GB2312" w:hAnsiTheme="majorHAnsi" w:cs="宋体" w:hint="eastAsia"/>
                <w:kern w:val="0"/>
                <w:sz w:val="24"/>
                <w:szCs w:val="24"/>
              </w:rPr>
              <w:t>专项经费</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c>
          <w:tcPr>
            <w:tcW w:w="567"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val="restart"/>
            <w:tcBorders>
              <w:top w:val="nil"/>
              <w:left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2</w:t>
            </w:r>
          </w:p>
        </w:tc>
        <w:tc>
          <w:tcPr>
            <w:tcW w:w="2136"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教职员工额定编制数</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c>
          <w:tcPr>
            <w:tcW w:w="567"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136"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在岗教职员工总数</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w:t>
            </w:r>
          </w:p>
        </w:tc>
        <w:tc>
          <w:tcPr>
            <w:tcW w:w="555"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nil"/>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single" w:sz="4" w:space="0" w:color="auto"/>
              <w:bottom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136" w:type="pct"/>
            <w:tcBorders>
              <w:top w:val="nil"/>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其中：专任教师总数</w:t>
            </w:r>
          </w:p>
        </w:tc>
        <w:tc>
          <w:tcPr>
            <w:tcW w:w="555" w:type="pct"/>
            <w:tcBorders>
              <w:top w:val="nil"/>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w:t>
            </w:r>
          </w:p>
        </w:tc>
        <w:tc>
          <w:tcPr>
            <w:tcW w:w="555" w:type="pct"/>
            <w:tcBorders>
              <w:top w:val="nil"/>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nil"/>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465"/>
          <w:jc w:val="center"/>
        </w:trPr>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3</w:t>
            </w:r>
          </w:p>
        </w:tc>
        <w:tc>
          <w:tcPr>
            <w:tcW w:w="2136"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企业提供的校内实践教学设备值</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万元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465"/>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val="restart"/>
            <w:tcBorders>
              <w:top w:val="single" w:sz="4" w:space="0" w:color="auto"/>
              <w:left w:val="nil"/>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4</w:t>
            </w:r>
          </w:p>
        </w:tc>
        <w:tc>
          <w:tcPr>
            <w:tcW w:w="2136"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w:t>
            </w:r>
            <w:proofErr w:type="gramStart"/>
            <w:r w:rsidRPr="00D229DE">
              <w:rPr>
                <w:rFonts w:ascii="仿宋_GB2312" w:eastAsia="仿宋_GB2312" w:hAnsiTheme="majorHAnsi" w:cs="宋体" w:hint="eastAsia"/>
                <w:kern w:val="0"/>
                <w:sz w:val="24"/>
                <w:szCs w:val="24"/>
              </w:rPr>
              <w:t>均企业</w:t>
            </w:r>
            <w:proofErr w:type="gramEnd"/>
            <w:r w:rsidRPr="00D229DE">
              <w:rPr>
                <w:rFonts w:ascii="仿宋_GB2312" w:eastAsia="仿宋_GB2312" w:hAnsiTheme="majorHAnsi" w:cs="宋体" w:hint="eastAsia"/>
                <w:kern w:val="0"/>
                <w:sz w:val="24"/>
                <w:szCs w:val="24"/>
              </w:rPr>
              <w:t>实习经费补贴</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465"/>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p>
        </w:tc>
        <w:tc>
          <w:tcPr>
            <w:tcW w:w="2136"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其中：生</w:t>
            </w:r>
            <w:proofErr w:type="gramStart"/>
            <w:r w:rsidRPr="00D229DE">
              <w:rPr>
                <w:rFonts w:ascii="仿宋_GB2312" w:eastAsia="仿宋_GB2312" w:hAnsiTheme="majorHAnsi" w:cs="宋体" w:hint="eastAsia"/>
                <w:kern w:val="0"/>
                <w:sz w:val="24"/>
                <w:szCs w:val="24"/>
              </w:rPr>
              <w:t>均财政</w:t>
            </w:r>
            <w:proofErr w:type="gramEnd"/>
            <w:r w:rsidRPr="00D229DE">
              <w:rPr>
                <w:rFonts w:ascii="仿宋_GB2312" w:eastAsia="仿宋_GB2312" w:hAnsiTheme="majorHAnsi" w:cs="宋体" w:hint="eastAsia"/>
                <w:kern w:val="0"/>
                <w:sz w:val="24"/>
                <w:szCs w:val="24"/>
              </w:rPr>
              <w:t>专项补贴</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465"/>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val="restart"/>
            <w:tcBorders>
              <w:top w:val="nil"/>
              <w:left w:val="nil"/>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5</w:t>
            </w: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生</w:t>
            </w:r>
            <w:proofErr w:type="gramStart"/>
            <w:r w:rsidRPr="00D229DE">
              <w:rPr>
                <w:rFonts w:ascii="仿宋_GB2312" w:eastAsia="仿宋_GB2312" w:hAnsiTheme="majorHAnsi" w:cs="宋体" w:hint="eastAsia"/>
                <w:kern w:val="0"/>
                <w:sz w:val="24"/>
                <w:szCs w:val="24"/>
              </w:rPr>
              <w:t>均企业</w:t>
            </w:r>
            <w:proofErr w:type="gramEnd"/>
            <w:r w:rsidRPr="00D229DE">
              <w:rPr>
                <w:rFonts w:ascii="仿宋_GB2312" w:eastAsia="仿宋_GB2312" w:hAnsiTheme="majorHAnsi" w:cs="宋体" w:hint="eastAsia"/>
                <w:kern w:val="0"/>
                <w:sz w:val="24"/>
                <w:szCs w:val="24"/>
              </w:rPr>
              <w:t>实习责任保险补贴</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465"/>
          <w:jc w:val="center"/>
        </w:trPr>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nil"/>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其中：生</w:t>
            </w:r>
            <w:proofErr w:type="gramStart"/>
            <w:r w:rsidRPr="00D229DE">
              <w:rPr>
                <w:rFonts w:ascii="仿宋_GB2312" w:eastAsia="仿宋_GB2312" w:hAnsiTheme="majorHAnsi" w:cs="宋体" w:hint="eastAsia"/>
                <w:kern w:val="0"/>
                <w:sz w:val="24"/>
                <w:szCs w:val="24"/>
              </w:rPr>
              <w:t>均财政</w:t>
            </w:r>
            <w:proofErr w:type="gramEnd"/>
            <w:r w:rsidRPr="00D229DE">
              <w:rPr>
                <w:rFonts w:ascii="仿宋_GB2312" w:eastAsia="仿宋_GB2312" w:hAnsiTheme="majorHAnsi" w:cs="宋体" w:hint="eastAsia"/>
                <w:kern w:val="0"/>
                <w:sz w:val="24"/>
                <w:szCs w:val="24"/>
              </w:rPr>
              <w:t>专项补贴</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val="restart"/>
            <w:tcBorders>
              <w:top w:val="nil"/>
              <w:left w:val="nil"/>
              <w:right w:val="single" w:sz="4" w:space="0" w:color="auto"/>
            </w:tcBorders>
            <w:shd w:val="clear" w:color="000000" w:fill="FFFFFF"/>
            <w:vAlign w:val="center"/>
          </w:tcPr>
          <w:p w:rsidR="00A45316" w:rsidRPr="00D229DE" w:rsidDel="001625FB"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6</w:t>
            </w:r>
          </w:p>
        </w:tc>
        <w:tc>
          <w:tcPr>
            <w:tcW w:w="2136"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企业兼职教师年课时总量</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课时</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nil"/>
              <w:right w:val="single" w:sz="4" w:space="0" w:color="auto"/>
            </w:tcBorders>
            <w:shd w:val="clear" w:color="000000" w:fill="FFFFFF"/>
            <w:vAlign w:val="center"/>
          </w:tcPr>
          <w:p w:rsidR="00A45316" w:rsidRPr="00D229DE" w:rsidRDefault="00A45316" w:rsidP="005E6B99">
            <w:pPr>
              <w:widowControl/>
              <w:spacing w:line="360" w:lineRule="auto"/>
              <w:rPr>
                <w:rFonts w:ascii="仿宋_GB2312" w:eastAsia="仿宋_GB2312" w:hAnsiTheme="majorHAnsi" w:cs="宋体"/>
                <w:kern w:val="0"/>
                <w:sz w:val="24"/>
                <w:szCs w:val="24"/>
              </w:rPr>
            </w:pPr>
          </w:p>
        </w:tc>
        <w:tc>
          <w:tcPr>
            <w:tcW w:w="2136"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roofErr w:type="gramStart"/>
            <w:r w:rsidRPr="00D229DE">
              <w:rPr>
                <w:rFonts w:ascii="仿宋_GB2312" w:eastAsia="仿宋_GB2312" w:hAnsiTheme="majorHAnsi" w:cs="宋体" w:hint="eastAsia"/>
                <w:kern w:val="0"/>
                <w:sz w:val="24"/>
                <w:szCs w:val="24"/>
              </w:rPr>
              <w:t>年支付</w:t>
            </w:r>
            <w:proofErr w:type="gramEnd"/>
            <w:r w:rsidRPr="00D229DE">
              <w:rPr>
                <w:rFonts w:ascii="仿宋_GB2312" w:eastAsia="仿宋_GB2312" w:hAnsiTheme="majorHAnsi" w:cs="宋体" w:hint="eastAsia"/>
                <w:kern w:val="0"/>
                <w:sz w:val="24"/>
                <w:szCs w:val="24"/>
              </w:rPr>
              <w:t>企业兼职</w:t>
            </w:r>
            <w:proofErr w:type="gramStart"/>
            <w:r w:rsidRPr="00D229DE">
              <w:rPr>
                <w:rFonts w:ascii="仿宋_GB2312" w:eastAsia="仿宋_GB2312" w:hAnsiTheme="majorHAnsi" w:cs="宋体" w:hint="eastAsia"/>
                <w:kern w:val="0"/>
                <w:sz w:val="24"/>
                <w:szCs w:val="24"/>
              </w:rPr>
              <w:t>教师课酬</w:t>
            </w:r>
            <w:proofErr w:type="gramEnd"/>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r w:rsidR="00A45316" w:rsidRPr="00253C0A" w:rsidTr="005E6B99">
        <w:trPr>
          <w:trHeight w:val="390"/>
          <w:jc w:val="center"/>
        </w:trPr>
        <w:tc>
          <w:tcPr>
            <w:tcW w:w="475" w:type="pct"/>
            <w:vMerge/>
            <w:tcBorders>
              <w:left w:val="single" w:sz="4" w:space="0" w:color="auto"/>
              <w:bottom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475" w:type="pct"/>
            <w:vMerge/>
            <w:tcBorders>
              <w:left w:val="single" w:sz="4" w:space="0" w:color="auto"/>
              <w:bottom w:val="single" w:sz="4" w:space="0" w:color="auto"/>
              <w:right w:val="single" w:sz="4" w:space="0" w:color="auto"/>
            </w:tcBorders>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237" w:type="pct"/>
            <w:vMerge/>
            <w:tcBorders>
              <w:left w:val="nil"/>
              <w:bottom w:val="single" w:sz="4" w:space="0" w:color="auto"/>
              <w:right w:val="single" w:sz="4" w:space="0" w:color="auto"/>
            </w:tcBorders>
            <w:shd w:val="clear" w:color="000000" w:fill="FFFFFF"/>
            <w:vAlign w:val="center"/>
          </w:tcPr>
          <w:p w:rsidR="00A45316" w:rsidRPr="00D229DE" w:rsidDel="001625FB" w:rsidRDefault="00A45316" w:rsidP="005E6B99">
            <w:pPr>
              <w:widowControl/>
              <w:spacing w:line="360" w:lineRule="auto"/>
              <w:jc w:val="center"/>
              <w:rPr>
                <w:rFonts w:ascii="仿宋_GB2312" w:eastAsia="仿宋_GB2312" w:hAnsiTheme="majorHAnsi" w:cs="宋体"/>
                <w:kern w:val="0"/>
                <w:sz w:val="24"/>
                <w:szCs w:val="24"/>
              </w:rPr>
            </w:pPr>
          </w:p>
        </w:tc>
        <w:tc>
          <w:tcPr>
            <w:tcW w:w="2136"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ind w:firstLineChars="100" w:firstLine="240"/>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其中：财政专项补贴</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A45316" w:rsidRPr="00D229DE" w:rsidRDefault="00A45316" w:rsidP="005E6B99">
            <w:pPr>
              <w:widowControl/>
              <w:spacing w:line="360" w:lineRule="auto"/>
              <w:jc w:val="left"/>
              <w:rPr>
                <w:rFonts w:ascii="仿宋_GB2312" w:eastAsia="仿宋_GB2312" w:hAnsiTheme="majorHAnsi" w:cs="宋体"/>
                <w:kern w:val="0"/>
                <w:sz w:val="24"/>
                <w:szCs w:val="24"/>
              </w:rPr>
            </w:pPr>
          </w:p>
        </w:tc>
      </w:tr>
    </w:tbl>
    <w:p w:rsidR="00B0272C" w:rsidRDefault="00B0272C">
      <w:bookmarkStart w:id="0" w:name="_GoBack"/>
      <w:bookmarkEnd w:id="0"/>
    </w:p>
    <w:sectPr w:rsidR="00B02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algun Gothic Semilight">
    <w:charset w:val="86"/>
    <w:family w:val="swiss"/>
    <w:pitch w:val="variable"/>
    <w:sig w:usb0="B0000AAF" w:usb1="09DF7CFB" w:usb2="00000012" w:usb3="00000000" w:csb0="003E01B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16"/>
    <w:rsid w:val="00A45316"/>
    <w:rsid w:val="00B0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988</Characters>
  <Application>Microsoft Office Word</Application>
  <DocSecurity>0</DocSecurity>
  <Lines>8</Lines>
  <Paragraphs>2</Paragraphs>
  <ScaleCrop>false</ScaleCrop>
  <Company>CHINA</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2018-10-23T08:44:00Z</dcterms:created>
  <dcterms:modified xsi:type="dcterms:W3CDTF">2018-10-23T08:44:00Z</dcterms:modified>
</cp:coreProperties>
</file>