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64" w:rsidRPr="00D229DE" w:rsidRDefault="00F52264" w:rsidP="00F52264">
      <w:pPr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附件</w:t>
      </w:r>
      <w:r>
        <w:rPr>
          <w:rFonts w:ascii="仿宋_GB2312" w:eastAsia="仿宋_GB2312" w:hAnsiTheme="majorHAnsi" w:hint="eastAsia"/>
          <w:sz w:val="32"/>
          <w:szCs w:val="32"/>
        </w:rPr>
        <w:t>6</w:t>
      </w:r>
    </w:p>
    <w:p w:rsidR="00F52264" w:rsidRPr="00D229DE" w:rsidRDefault="00F52264" w:rsidP="00F52264">
      <w:pPr>
        <w:snapToGrid w:val="0"/>
        <w:spacing w:afterLines="50" w:after="156"/>
        <w:ind w:firstLineChars="400" w:firstLine="1440"/>
        <w:outlineLvl w:val="0"/>
        <w:rPr>
          <w:rFonts w:ascii="黑体" w:eastAsia="黑体" w:hAnsi="黑体" w:cs="宋体"/>
          <w:kern w:val="0"/>
          <w:sz w:val="36"/>
          <w:szCs w:val="36"/>
        </w:rPr>
      </w:pPr>
      <w:r w:rsidRPr="00D229DE">
        <w:rPr>
          <w:rFonts w:ascii="黑体" w:eastAsia="黑体" w:hAnsi="黑体" w:cs="宋体" w:hint="eastAsia"/>
          <w:kern w:val="0"/>
          <w:sz w:val="36"/>
          <w:szCs w:val="36"/>
        </w:rPr>
        <w:t>“</w:t>
      </w:r>
      <w:r w:rsidRPr="00D229DE">
        <w:rPr>
          <w:rFonts w:ascii="黑体" w:eastAsia="黑体" w:hAnsi="黑体" w:cs="微软雅黑" w:hint="eastAsia"/>
          <w:kern w:val="0"/>
          <w:sz w:val="36"/>
          <w:szCs w:val="36"/>
        </w:rPr>
        <w:t>服务贡献表</w:t>
      </w:r>
      <w:r w:rsidRPr="00D229DE">
        <w:rPr>
          <w:rFonts w:ascii="黑体" w:eastAsia="黑体" w:hAnsi="黑体" w:cs="Malgun Gothic Semilight" w:hint="eastAsia"/>
          <w:kern w:val="0"/>
          <w:sz w:val="36"/>
          <w:szCs w:val="36"/>
        </w:rPr>
        <w:t>”</w:t>
      </w:r>
      <w:r w:rsidRPr="00D229DE">
        <w:rPr>
          <w:rFonts w:ascii="黑体" w:eastAsia="黑体" w:hAnsi="黑体" w:cs="微软雅黑" w:hint="eastAsia"/>
          <w:kern w:val="0"/>
          <w:sz w:val="36"/>
          <w:szCs w:val="36"/>
        </w:rPr>
        <w:t>指标及相关内涵说明</w:t>
      </w:r>
    </w:p>
    <w:p w:rsidR="00F52264" w:rsidRPr="00D229DE" w:rsidRDefault="00F52264" w:rsidP="00F52264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“服务贡献表”</w:t>
      </w:r>
      <w:proofErr w:type="gramStart"/>
      <w:r w:rsidRPr="00D229DE">
        <w:rPr>
          <w:rFonts w:ascii="仿宋_GB2312" w:eastAsia="仿宋_GB2312" w:hAnsiTheme="majorHAnsi" w:hint="eastAsia"/>
          <w:sz w:val="32"/>
          <w:szCs w:val="32"/>
        </w:rPr>
        <w:t>系反映</w:t>
      </w:r>
      <w:proofErr w:type="gramEnd"/>
      <w:r w:rsidRPr="00D229DE">
        <w:rPr>
          <w:rFonts w:ascii="仿宋_GB2312" w:eastAsia="仿宋_GB2312" w:hAnsiTheme="majorHAnsi" w:hint="eastAsia"/>
          <w:sz w:val="32"/>
          <w:szCs w:val="32"/>
        </w:rPr>
        <w:t>高职院校服务地方和行业发展的管理评价工具。</w:t>
      </w:r>
    </w:p>
    <w:p w:rsidR="00F52264" w:rsidRPr="00D229DE" w:rsidRDefault="00F52264" w:rsidP="00F52264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1.毕业生就业去向分为</w:t>
      </w:r>
      <w:r>
        <w:rPr>
          <w:rFonts w:ascii="仿宋_GB2312" w:eastAsia="仿宋_GB2312" w:hAnsiTheme="majorHAnsi" w:hint="eastAsia"/>
          <w:sz w:val="32"/>
          <w:szCs w:val="32"/>
        </w:rPr>
        <w:t>四</w:t>
      </w:r>
      <w:r w:rsidRPr="00D229DE">
        <w:rPr>
          <w:rFonts w:ascii="仿宋_GB2312" w:eastAsia="仿宋_GB2312" w:hAnsiTheme="majorHAnsi" w:hint="eastAsia"/>
          <w:sz w:val="32"/>
          <w:szCs w:val="32"/>
        </w:rPr>
        <w:t>类：</w:t>
      </w:r>
    </w:p>
    <w:p w:rsidR="00F52264" w:rsidRPr="00D229DE" w:rsidRDefault="00F52264" w:rsidP="00F52264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A类是毕业生留在当地（公办学校：如省级财政投入经费的以省域为“当地”，地级财政投入经费的以地级市域为“当地”，以此类推；民办学校：以学校所在地为“当地”；如有异地校区则分别统计）就业人数；</w:t>
      </w:r>
      <w:r w:rsidRPr="002734A7">
        <w:rPr>
          <w:rFonts w:ascii="仿宋_GB2312" w:eastAsia="仿宋_GB2312" w:hAnsiTheme="majorHAnsi" w:hint="eastAsia"/>
          <w:sz w:val="32"/>
          <w:szCs w:val="32"/>
        </w:rPr>
        <w:t>B类是毕业生去西部地区和东北老工业基地就业人数（西部地区包括四川、重庆、贵州、云南、西藏、陕西、甘肃、青海、宁夏、新疆、广西、内蒙古等1</w:t>
      </w:r>
      <w:r w:rsidRPr="002734A7">
        <w:rPr>
          <w:rFonts w:ascii="仿宋_GB2312" w:eastAsia="仿宋_GB2312" w:hAnsiTheme="majorHAnsi"/>
          <w:sz w:val="32"/>
          <w:szCs w:val="32"/>
        </w:rPr>
        <w:t>2</w:t>
      </w:r>
      <w:r w:rsidRPr="002734A7">
        <w:rPr>
          <w:rFonts w:ascii="仿宋_GB2312" w:eastAsia="仿宋_GB2312" w:hAnsiTheme="majorHAnsi" w:hint="eastAsia"/>
          <w:sz w:val="32"/>
          <w:szCs w:val="32"/>
        </w:rPr>
        <w:t>个省份；东北老工业基地包括辽宁、吉林、黑龙江等3个省份）；</w:t>
      </w:r>
      <w:r>
        <w:rPr>
          <w:rFonts w:ascii="仿宋_GB2312" w:eastAsia="仿宋_GB2312" w:hAnsiTheme="majorHAnsi" w:hint="eastAsia"/>
          <w:sz w:val="32"/>
          <w:szCs w:val="32"/>
        </w:rPr>
        <w:t>C</w:t>
      </w:r>
      <w:r w:rsidRPr="00D229DE">
        <w:rPr>
          <w:rFonts w:ascii="仿宋_GB2312" w:eastAsia="仿宋_GB2312" w:hAnsiTheme="majorHAnsi" w:hint="eastAsia"/>
          <w:sz w:val="32"/>
          <w:szCs w:val="32"/>
        </w:rPr>
        <w:t>类是毕业生到中小微企业（具体标准参见《关于印发中小企业划型标准规定的通知》（工信部联企业〔2011〕300号））服务人数；</w:t>
      </w:r>
      <w:r>
        <w:rPr>
          <w:rFonts w:ascii="仿宋_GB2312" w:eastAsia="仿宋_GB2312" w:hAnsiTheme="majorHAnsi" w:hint="eastAsia"/>
          <w:sz w:val="32"/>
          <w:szCs w:val="32"/>
        </w:rPr>
        <w:t>D</w:t>
      </w:r>
      <w:r w:rsidRPr="00D229DE">
        <w:rPr>
          <w:rFonts w:ascii="仿宋_GB2312" w:eastAsia="仿宋_GB2312" w:hAnsiTheme="majorHAnsi" w:hint="eastAsia"/>
          <w:sz w:val="32"/>
          <w:szCs w:val="32"/>
        </w:rPr>
        <w:t>类是毕业生到500强企业（指在过去5年曾经是世界500强或中国企业500强的企业）就业人数。各高职院校根据实际分别填写以上</w:t>
      </w:r>
      <w:r>
        <w:rPr>
          <w:rFonts w:ascii="仿宋_GB2312" w:eastAsia="仿宋_GB2312" w:hAnsiTheme="majorHAnsi" w:hint="eastAsia"/>
          <w:sz w:val="32"/>
          <w:szCs w:val="32"/>
        </w:rPr>
        <w:t>四</w:t>
      </w:r>
      <w:r w:rsidRPr="00D229DE">
        <w:rPr>
          <w:rFonts w:ascii="仿宋_GB2312" w:eastAsia="仿宋_GB2312" w:hAnsiTheme="majorHAnsi" w:hint="eastAsia"/>
          <w:sz w:val="32"/>
          <w:szCs w:val="32"/>
        </w:rPr>
        <w:t>类，各地在本省质量年报中可汇总分析以上</w:t>
      </w:r>
      <w:r>
        <w:rPr>
          <w:rFonts w:ascii="仿宋_GB2312" w:eastAsia="仿宋_GB2312" w:hAnsiTheme="majorHAnsi" w:hint="eastAsia"/>
          <w:sz w:val="32"/>
          <w:szCs w:val="32"/>
        </w:rPr>
        <w:t>四</w:t>
      </w:r>
      <w:r w:rsidRPr="00D229DE">
        <w:rPr>
          <w:rFonts w:ascii="仿宋_GB2312" w:eastAsia="仿宋_GB2312" w:hAnsiTheme="majorHAnsi" w:hint="eastAsia"/>
          <w:sz w:val="32"/>
          <w:szCs w:val="32"/>
        </w:rPr>
        <w:t>类情况。</w:t>
      </w:r>
    </w:p>
    <w:p w:rsidR="00F52264" w:rsidRPr="00D229DE" w:rsidRDefault="00F52264" w:rsidP="00F52264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2.“横向技术服务到款额”指以学校名义与自然人、法人、其他组织签订的技术开发、技术服务、技术咨询、技术转让等技术合同所涉及的经费；国际科技合作项目中与境外企业、个人合作经费及科技捐赠项目经费。</w:t>
      </w:r>
      <w:r w:rsidRPr="002734A7">
        <w:rPr>
          <w:rFonts w:ascii="仿宋_GB2312" w:eastAsia="仿宋_GB2312" w:hAnsiTheme="majorHAnsi" w:hint="eastAsia"/>
          <w:sz w:val="32"/>
          <w:szCs w:val="32"/>
        </w:rPr>
        <w:t>“横向技术服务产生的经济效益”指学校为上述</w:t>
      </w:r>
      <w:r w:rsidRPr="00367910">
        <w:rPr>
          <w:rFonts w:ascii="仿宋_GB2312" w:eastAsia="仿宋_GB2312" w:hAnsiTheme="majorHAnsi" w:hint="eastAsia"/>
          <w:sz w:val="32"/>
          <w:szCs w:val="32"/>
        </w:rPr>
        <w:t>自然人、法人、其他组织</w:t>
      </w:r>
      <w:r>
        <w:rPr>
          <w:rFonts w:ascii="仿宋_GB2312" w:eastAsia="仿宋_GB2312" w:hAnsiTheme="majorHAnsi" w:hint="eastAsia"/>
          <w:sz w:val="32"/>
          <w:szCs w:val="32"/>
        </w:rPr>
        <w:t>提供相关服务以及</w:t>
      </w:r>
      <w:r w:rsidRPr="00D229DE">
        <w:rPr>
          <w:rFonts w:ascii="仿宋_GB2312" w:eastAsia="仿宋_GB2312" w:hAnsiTheme="majorHAnsi" w:hint="eastAsia"/>
          <w:sz w:val="32"/>
          <w:szCs w:val="32"/>
        </w:rPr>
        <w:t>国际科技合作项目中</w:t>
      </w:r>
      <w:r>
        <w:rPr>
          <w:rFonts w:ascii="仿宋_GB2312" w:eastAsia="仿宋_GB2312" w:hAnsiTheme="majorHAnsi" w:hint="eastAsia"/>
          <w:sz w:val="32"/>
          <w:szCs w:val="32"/>
        </w:rPr>
        <w:t>所产生的经济效益，</w:t>
      </w:r>
      <w:r w:rsidRPr="002734A7">
        <w:rPr>
          <w:rFonts w:ascii="仿宋_GB2312" w:eastAsia="仿宋_GB2312" w:hAnsiTheme="majorHAnsi" w:hint="eastAsia"/>
          <w:sz w:val="32"/>
          <w:szCs w:val="32"/>
        </w:rPr>
        <w:t>统计截止时点以财政年度为准。</w:t>
      </w:r>
    </w:p>
    <w:p w:rsidR="00F52264" w:rsidRPr="00D229DE" w:rsidRDefault="00F52264" w:rsidP="00F52264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3.“纵向科研经费到款额”指通过承担</w:t>
      </w:r>
      <w:hyperlink r:id="rId5" w:tooltip="国家" w:history="1">
        <w:r w:rsidRPr="00D229DE">
          <w:rPr>
            <w:rFonts w:ascii="仿宋_GB2312" w:eastAsia="仿宋_GB2312" w:hAnsiTheme="majorHAnsi" w:hint="eastAsia"/>
            <w:sz w:val="32"/>
            <w:szCs w:val="32"/>
          </w:rPr>
          <w:t>国家</w:t>
        </w:r>
      </w:hyperlink>
      <w:r w:rsidRPr="00D229DE">
        <w:rPr>
          <w:rFonts w:ascii="仿宋_GB2312" w:eastAsia="仿宋_GB2312" w:hAnsiTheme="majorHAnsi" w:hint="eastAsia"/>
          <w:sz w:val="32"/>
          <w:szCs w:val="32"/>
        </w:rPr>
        <w:t>、地方政府</w:t>
      </w:r>
      <w:r w:rsidRPr="00D229DE">
        <w:rPr>
          <w:rFonts w:ascii="仿宋_GB2312" w:eastAsia="仿宋_GB2312" w:hAnsiTheme="majorHAnsi" w:hint="eastAsia"/>
          <w:sz w:val="32"/>
          <w:szCs w:val="32"/>
        </w:rPr>
        <w:lastRenderedPageBreak/>
        <w:t>常设的</w:t>
      </w:r>
      <w:hyperlink r:id="rId6" w:tooltip="计划" w:history="1">
        <w:r w:rsidRPr="00D229DE">
          <w:rPr>
            <w:rFonts w:ascii="仿宋_GB2312" w:eastAsia="仿宋_GB2312" w:hAnsiTheme="majorHAnsi" w:hint="eastAsia"/>
            <w:sz w:val="32"/>
            <w:szCs w:val="32"/>
          </w:rPr>
          <w:t>计划</w:t>
        </w:r>
      </w:hyperlink>
      <w:hyperlink r:id="rId7" w:tooltip="项目" w:history="1">
        <w:r w:rsidRPr="00D229DE">
          <w:rPr>
            <w:rFonts w:ascii="仿宋_GB2312" w:eastAsia="仿宋_GB2312" w:hAnsiTheme="majorHAnsi" w:hint="eastAsia"/>
            <w:sz w:val="32"/>
            <w:szCs w:val="32"/>
          </w:rPr>
          <w:t>项目</w:t>
        </w:r>
      </w:hyperlink>
      <w:r w:rsidRPr="00D229DE">
        <w:rPr>
          <w:rFonts w:ascii="仿宋_GB2312" w:eastAsia="仿宋_GB2312" w:hAnsiTheme="majorHAnsi" w:hint="eastAsia"/>
          <w:sz w:val="32"/>
          <w:szCs w:val="32"/>
        </w:rPr>
        <w:t>或专项项目取得的科研项目经费。</w:t>
      </w:r>
      <w:r w:rsidRPr="00D229DE">
        <w:rPr>
          <w:rFonts w:ascii="仿宋_GB2312" w:eastAsia="仿宋_GB2312" w:hAnsiTheme="majorHAnsi" w:cs="宋体" w:hint="eastAsia"/>
          <w:kern w:val="0"/>
          <w:sz w:val="32"/>
          <w:szCs w:val="32"/>
        </w:rPr>
        <w:t>统计截止时点以财政年度为准。</w:t>
      </w:r>
    </w:p>
    <w:p w:rsidR="00F52264" w:rsidRPr="00D229DE" w:rsidRDefault="00F52264" w:rsidP="00F52264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4.“技术交易到款额”指政府或企业通过技术市场购买院校的专利和技术成果、购买技术转让、委托技术研发等支付到账的费用。</w:t>
      </w:r>
      <w:r w:rsidRPr="00D229DE">
        <w:rPr>
          <w:rFonts w:ascii="仿宋_GB2312" w:eastAsia="仿宋_GB2312" w:hAnsiTheme="majorHAnsi" w:cs="宋体" w:hint="eastAsia"/>
          <w:kern w:val="0"/>
          <w:sz w:val="32"/>
          <w:szCs w:val="32"/>
        </w:rPr>
        <w:t>统计截止时点以财政年度为准。</w:t>
      </w:r>
    </w:p>
    <w:p w:rsidR="00F52264" w:rsidRPr="00D229DE" w:rsidRDefault="00F52264" w:rsidP="00F52264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5.“非学历培训到款额”指为社会进行的非学历性培训已到账的收入。</w:t>
      </w:r>
      <w:r w:rsidRPr="00D229DE">
        <w:rPr>
          <w:rFonts w:ascii="仿宋_GB2312" w:eastAsia="仿宋_GB2312" w:hAnsiTheme="majorHAnsi" w:cs="宋体" w:hint="eastAsia"/>
          <w:kern w:val="0"/>
          <w:sz w:val="32"/>
          <w:szCs w:val="32"/>
        </w:rPr>
        <w:t>统计截止时点以财政年度为准。</w:t>
      </w:r>
    </w:p>
    <w:p w:rsidR="00F52264" w:rsidRPr="00D229DE" w:rsidRDefault="00F52264" w:rsidP="00F52264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6.“公益性培训服务”指为社会进行的免费培训的规模，</w:t>
      </w:r>
      <w:r w:rsidRPr="007C4B94">
        <w:rPr>
          <w:rFonts w:ascii="仿宋_GB2312" w:eastAsia="仿宋_GB2312" w:hAnsiTheme="majorHAnsi" w:hint="eastAsia"/>
          <w:sz w:val="32"/>
          <w:szCs w:val="32"/>
        </w:rPr>
        <w:t>不含针对校内学生和教师的培训。</w:t>
      </w:r>
    </w:p>
    <w:p w:rsidR="00F52264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F52264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F52264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F52264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F52264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F52264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F52264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F52264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F52264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F52264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F52264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F52264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F52264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F52264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F52264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</w:p>
    <w:p w:rsidR="00F52264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</w:p>
    <w:p w:rsidR="00F52264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F52264" w:rsidRPr="00D229DE" w:rsidRDefault="00F52264" w:rsidP="00F52264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  <w:r w:rsidRPr="00D229DE">
        <w:rPr>
          <w:rFonts w:ascii="黑体" w:eastAsia="黑体" w:hAnsi="黑体" w:hint="eastAsia"/>
          <w:sz w:val="32"/>
          <w:szCs w:val="32"/>
        </w:rPr>
        <w:lastRenderedPageBreak/>
        <w:t>表</w:t>
      </w:r>
      <w:r>
        <w:rPr>
          <w:rFonts w:ascii="黑体" w:eastAsia="黑体" w:hAnsi="黑体" w:hint="eastAsia"/>
          <w:sz w:val="32"/>
          <w:szCs w:val="32"/>
        </w:rPr>
        <w:t xml:space="preserve">5 </w:t>
      </w:r>
      <w:r w:rsidRPr="00D229DE">
        <w:rPr>
          <w:rFonts w:ascii="黑体" w:eastAsia="黑体" w:hAnsi="黑体" w:hint="eastAsia"/>
          <w:sz w:val="32"/>
          <w:szCs w:val="32"/>
        </w:rPr>
        <w:t>服务贡献表</w:t>
      </w:r>
    </w:p>
    <w:tbl>
      <w:tblPr>
        <w:tblW w:w="5060" w:type="pct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723"/>
        <w:gridCol w:w="409"/>
        <w:gridCol w:w="2658"/>
        <w:gridCol w:w="852"/>
        <w:gridCol w:w="993"/>
        <w:gridCol w:w="995"/>
        <w:gridCol w:w="1276"/>
      </w:tblGrid>
      <w:tr w:rsidR="00F52264" w:rsidRPr="00D229DE" w:rsidTr="005E6B99">
        <w:trPr>
          <w:trHeight w:val="42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b/>
                <w:bCs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b/>
                <w:bCs/>
                <w:kern w:val="0"/>
                <w:sz w:val="24"/>
                <w:szCs w:val="24"/>
              </w:rPr>
              <w:t>院校代码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b/>
                <w:bCs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b/>
                <w:bCs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b/>
                <w:bCs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b/>
                <w:bCs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b/>
                <w:bCs/>
                <w:kern w:val="0"/>
                <w:sz w:val="24"/>
                <w:szCs w:val="24"/>
              </w:rPr>
              <w:t>2017年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b/>
                <w:bCs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b/>
                <w:bCs/>
                <w:kern w:val="0"/>
                <w:sz w:val="24"/>
                <w:szCs w:val="24"/>
              </w:rPr>
              <w:t>2018年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F52264" w:rsidRPr="00D229DE" w:rsidTr="005E6B99">
        <w:trPr>
          <w:trHeight w:val="420"/>
          <w:jc w:val="center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2264" w:rsidRPr="00D229DE" w:rsidRDefault="00F52264" w:rsidP="005E6B99">
            <w:pPr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2264" w:rsidRPr="00D229DE" w:rsidRDefault="00F52264" w:rsidP="005E6B99">
            <w:pPr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64" w:rsidRPr="00D229DE" w:rsidRDefault="00F52264" w:rsidP="005E6B99">
            <w:pPr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全日制在校生人数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F52264" w:rsidRPr="00D229DE" w:rsidTr="005E6B99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毕业生人数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F52264" w:rsidRPr="00D229DE" w:rsidTr="005E6B99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ind w:firstLineChars="100" w:firstLine="240"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其中：就业人数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F52264" w:rsidRPr="00D229DE" w:rsidTr="005E6B99">
        <w:trPr>
          <w:trHeight w:val="48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毕业生就业去向：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F52264" w:rsidRPr="00D229DE" w:rsidTr="005E6B99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ind w:firstLineChars="100" w:firstLine="240"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7C4B94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A类:留在当地就业人数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F52264" w:rsidRPr="00D229DE" w:rsidTr="005E6B99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64" w:rsidRPr="00D229DE" w:rsidRDefault="00F52264" w:rsidP="005E6B99">
            <w:pPr>
              <w:widowControl/>
              <w:ind w:firstLineChars="100" w:firstLine="240"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2734A7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B类:到西部</w:t>
            </w:r>
            <w:r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地区</w:t>
            </w:r>
            <w:r w:rsidRPr="002734A7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和东北地区就业人数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F52264" w:rsidRPr="00D229DE" w:rsidTr="005E6B99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ind w:firstLineChars="100" w:firstLine="240"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C类:到中小</w:t>
            </w:r>
            <w:proofErr w:type="gramStart"/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微企业</w:t>
            </w:r>
            <w:proofErr w:type="gramEnd"/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等基层服务人数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F52264" w:rsidRPr="00D229DE" w:rsidTr="005E6B99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ind w:firstLineChars="100" w:firstLine="240"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D类:到500强企业就业人数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F52264" w:rsidRPr="00D229DE" w:rsidTr="005E6B99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横向技术服务到款额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F52264" w:rsidRPr="00D229DE" w:rsidTr="005E6B99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2734A7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横向技术服务产生的经济效益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64" w:rsidRPr="00D229DE" w:rsidRDefault="00F52264" w:rsidP="005E6B99">
            <w:pPr>
              <w:widowControl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提供产生经济效益的企业出具的证明</w:t>
            </w:r>
            <w:r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，</w:t>
            </w: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并盖财务章。</w:t>
            </w:r>
          </w:p>
        </w:tc>
      </w:tr>
      <w:tr w:rsidR="00F52264" w:rsidRPr="00D229DE" w:rsidTr="005E6B99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纵向科研经费到款额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F52264" w:rsidRPr="00D229DE" w:rsidTr="005E6B99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技术交易到款额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F52264" w:rsidRPr="00D229DE" w:rsidTr="005E6B99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非学历培训到款额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F52264" w:rsidRPr="00D229DE" w:rsidTr="005E6B99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公益性培训服务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center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人日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  <w:tr w:rsidR="00F52264" w:rsidRPr="00253C0A" w:rsidTr="005E6B99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  <w:tc>
          <w:tcPr>
            <w:tcW w:w="342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主要办学经费来源（单选）：省级（）   地市级（）</w:t>
            </w:r>
          </w:p>
          <w:p w:rsidR="00F52264" w:rsidRPr="00D229DE" w:rsidRDefault="00F52264" w:rsidP="005E6B99">
            <w:pPr>
              <w:widowControl/>
              <w:ind w:firstLineChars="1000" w:firstLine="2400"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 xml:space="preserve">行业或企业（）   </w:t>
            </w:r>
            <w:r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 xml:space="preserve">  </w:t>
            </w:r>
            <w:r w:rsidRPr="00D229DE">
              <w:rPr>
                <w:rFonts w:ascii="仿宋_GB2312" w:eastAsia="仿宋_GB2312" w:hAnsiTheme="majorHAnsi" w:cs="宋体" w:hint="eastAsia"/>
                <w:kern w:val="0"/>
                <w:sz w:val="24"/>
                <w:szCs w:val="24"/>
              </w:rPr>
              <w:t>其他（）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64" w:rsidRPr="00D229DE" w:rsidRDefault="00F52264" w:rsidP="005E6B99">
            <w:pPr>
              <w:widowControl/>
              <w:jc w:val="left"/>
              <w:rPr>
                <w:rFonts w:ascii="仿宋_GB2312" w:eastAsia="仿宋_GB2312" w:hAnsiTheme="majorHAnsi" w:cs="宋体"/>
                <w:kern w:val="0"/>
                <w:sz w:val="24"/>
                <w:szCs w:val="24"/>
              </w:rPr>
            </w:pPr>
          </w:p>
        </w:tc>
      </w:tr>
    </w:tbl>
    <w:p w:rsidR="00B0272C" w:rsidRPr="00F52264" w:rsidRDefault="00B0272C"/>
    <w:sectPr w:rsidR="00B0272C" w:rsidRPr="00F52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 Semilight">
    <w:charset w:val="86"/>
    <w:family w:val="swiss"/>
    <w:pitch w:val="variable"/>
    <w:sig w:usb0="B0000AAF" w:usb1="09DF7CFB" w:usb2="00000012" w:usb3="00000000" w:csb0="003E01B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64"/>
    <w:rsid w:val="00B0272C"/>
    <w:rsid w:val="00F5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iki.mbalib.com/wiki/%E9%A1%B9%E7%9B%A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iki.mbalib.com/wiki/%E8%AE%A1%E5%88%92" TargetMode="External"/><Relationship Id="rId5" Type="http://schemas.openxmlformats.org/officeDocument/2006/relationships/hyperlink" Target="http://wiki.mbalib.com/wiki/%E5%9B%BD%E5%AE%B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1222</Characters>
  <Application>Microsoft Office Word</Application>
  <DocSecurity>0</DocSecurity>
  <Lines>10</Lines>
  <Paragraphs>2</Paragraphs>
  <ScaleCrop>false</ScaleCrop>
  <Company>CHINA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2018-10-23T08:43:00Z</dcterms:created>
  <dcterms:modified xsi:type="dcterms:W3CDTF">2018-10-23T08:43:00Z</dcterms:modified>
</cp:coreProperties>
</file>